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Приложение 4</w:t>
      </w:r>
    </w:p>
    <w:p>
      <w:pPr>
        <w:jc w:val="right"/>
      </w:pPr>
      <w:r>
        <w:t>к Типовым правилам</w:t>
        <w:br/>
        <w:t>проведения внутреннего</w:t>
        <w:br/>
        <w:t>анализа коррупционных рисков</w:t>
      </w:r>
    </w:p>
    <w:p>
      <w:pPr>
        <w:jc w:val="center"/>
      </w:pPr>
      <w:r>
        <w:rPr>
          <w:b/>
        </w:rPr>
        <w:br/>
        <w:t>Перечень должностей, подверженных коррупционным рискам, определенных по итогам внутреннего анализа коррупционных рисков</w:t>
      </w:r>
    </w:p>
    <w:p>
      <w:pPr>
        <w:jc w:val="center"/>
      </w:pPr>
      <w:r>
        <w:t>ГКП «Костанай-Су»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 п/п</w:t>
            </w:r>
          </w:p>
        </w:tc>
        <w:tc>
          <w:tcPr>
            <w:tcW w:type="dxa" w:w="2160"/>
          </w:tcPr>
          <w:p>
            <w:r>
              <w:t>Должность, подверженная коррупционному риску</w:t>
            </w:r>
          </w:p>
        </w:tc>
        <w:tc>
          <w:tcPr>
            <w:tcW w:type="dxa" w:w="2160"/>
          </w:tcPr>
          <w:p>
            <w:r>
              <w:t>Должностные полномочия, содержащие коррупционные риски</w:t>
            </w:r>
          </w:p>
        </w:tc>
        <w:tc>
          <w:tcPr>
            <w:tcW w:type="dxa" w:w="2160"/>
          </w:tcPr>
          <w:p>
            <w:r>
              <w:t>Коррупционные риски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Начальник отдела снабжения</w:t>
            </w:r>
          </w:p>
        </w:tc>
        <w:tc>
          <w:tcPr>
            <w:tcW w:type="dxa" w:w="2160"/>
          </w:tcPr>
          <w:p>
            <w:r>
              <w:t>Заключение договоров и выбор поставщиков</w:t>
            </w:r>
          </w:p>
        </w:tc>
        <w:tc>
          <w:tcPr>
            <w:tcW w:type="dxa" w:w="2160"/>
          </w:tcPr>
          <w:p>
            <w:r>
              <w:t>Предпочтение отдельных поставщиков, получение выгоды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Главный бухгалтер</w:t>
            </w:r>
          </w:p>
        </w:tc>
        <w:tc>
          <w:tcPr>
            <w:tcW w:type="dxa" w:w="2160"/>
          </w:tcPr>
          <w:p>
            <w:r>
              <w:t>Формирование финансовой отчетности</w:t>
            </w:r>
          </w:p>
        </w:tc>
        <w:tc>
          <w:tcPr>
            <w:tcW w:type="dxa" w:w="2160"/>
          </w:tcPr>
          <w:p>
            <w:r>
              <w:t>Фальсификация данных, присвоение средств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Инспектор по кадрам</w:t>
            </w:r>
          </w:p>
        </w:tc>
        <w:tc>
          <w:tcPr>
            <w:tcW w:type="dxa" w:w="2160"/>
          </w:tcPr>
          <w:p>
            <w:r>
              <w:t>Прием и увольнение сотрудников</w:t>
            </w:r>
          </w:p>
        </w:tc>
        <w:tc>
          <w:tcPr>
            <w:tcW w:type="dxa" w:w="2160"/>
          </w:tcPr>
          <w:p>
            <w:r>
              <w:t>Непрозрачный конкурсный отбор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Мастер участка</w:t>
            </w:r>
          </w:p>
        </w:tc>
        <w:tc>
          <w:tcPr>
            <w:tcW w:type="dxa" w:w="2160"/>
          </w:tcPr>
          <w:p>
            <w:r>
              <w:t>Контроль выполнения работ и выдача разрешений</w:t>
            </w:r>
          </w:p>
        </w:tc>
        <w:tc>
          <w:tcPr>
            <w:tcW w:type="dxa" w:w="2160"/>
          </w:tcPr>
          <w:p>
            <w:r>
              <w:t>Получение выгоды за нарушение норм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Специалист абонентского отдела</w:t>
            </w:r>
          </w:p>
        </w:tc>
        <w:tc>
          <w:tcPr>
            <w:tcW w:type="dxa" w:w="2160"/>
          </w:tcPr>
          <w:p>
            <w:r>
              <w:t>Работа с начислениями и платежами</w:t>
            </w:r>
          </w:p>
        </w:tc>
        <w:tc>
          <w:tcPr>
            <w:tcW w:type="dxa" w:w="2160"/>
          </w:tcPr>
          <w:p>
            <w:r>
              <w:t>Злоупотребление при расчетах, сокрытие переплат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